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 w:val="0"/>
        </w:rPr>
        <w:t>6 Workflow-Vorlagen für Marketing Automation mit KI</w:t>
      </w:r>
    </w:p>
    <w:p>
      <w:r>
        <w:rPr>
          <w:color w:val="6B7A99"/>
          <w:sz w:val="18"/>
        </w:rPr>
        <w:t>6 Workflow-Vorlagen Marketing Automation · kistrategie.de</w:t>
      </w:r>
    </w:p>
    <w:p>
      <w:r>
        <w:rPr>
          <w:b w:val="0"/>
        </w:rPr>
        <w:t>Jede Vorlage beschreibt einen Ablauf so, dass Sie ihn in Ihrem Werkzeug nachbauen können, ob HubSpot, Brevo, ActiveCampaign, Microsoft Dynamics, Make, n8n oder Zapier. Der KI-Baustein ist jeweils markiert. Fangen Sie mit einem Ablauf an, nicht mit allen sechs.</w:t>
      </w:r>
    </w:p>
    <w:p>
      <w:pPr>
        <w:shd w:val="clear" w:color="auto" w:fill="FFF3D6"/>
      </w:pPr>
      <w:r>
        <w:rPr>
          <w:b w:val="0"/>
        </w:rPr>
        <w:t>Grundregel: Die KI schlägt vor, bewertet oder entwirft. Was an Kundinnen und Kunden rausgeht, prüft am Anfang ein Mensch. Erst wenn die Vorschläge über Wochen stimmen, lockern Sie die Freigabe.</w:t>
      </w:r>
    </w:p>
    <w:p>
      <w:pPr>
        <w:pStyle w:val="Heading1"/>
      </w:pPr>
      <w:r>
        <w:rPr>
          <w:b w:val="0"/>
        </w:rPr>
        <w:t>1. Anfrage beantworten und weiterleiten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pPr>
              <w:shd w:val="clear" w:color="auto" w:fill="DCE6FF"/>
            </w:pPr>
            <w:r>
              <w:rPr>
                <w:b/>
                <w:sz w:val="19"/>
              </w:rPr>
              <w:t>Baustein</w:t>
            </w:r>
          </w:p>
        </w:tc>
        <w:tc>
          <w:tcPr>
            <w:tcW w:type="dxa" w:w="4873"/>
          </w:tcPr>
          <w:p>
            <w:pPr>
              <w:shd w:val="clear" w:color="auto" w:fill="DCE6FF"/>
            </w:pPr>
            <w:r>
              <w:rPr>
                <w:b/>
                <w:sz w:val="19"/>
              </w:rPr>
              <w:t>Inhalt</w:t>
            </w:r>
          </w:p>
        </w:tc>
      </w:tr>
      <w:tr>
        <w:tc>
          <w:tcPr>
            <w:tcW w:type="dxa" w:w="4873"/>
          </w:tcPr>
          <w:p>
            <w:r>
              <w:rPr>
                <w:b w:val="0"/>
                <w:sz w:val="19"/>
              </w:rPr>
              <w:t>Auslöser</w:t>
            </w:r>
          </w:p>
        </w:tc>
        <w:tc>
          <w:tcPr>
            <w:tcW w:type="dxa" w:w="4873"/>
          </w:tcPr>
          <w:p>
            <w:r>
              <w:rPr>
                <w:b w:val="0"/>
                <w:sz w:val="19"/>
              </w:rPr>
              <w:t>Kontaktformular oder E-Mail an info@ geht ein</w:t>
            </w:r>
          </w:p>
        </w:tc>
      </w:tr>
      <w:tr>
        <w:tc>
          <w:tcPr>
            <w:tcW w:type="dxa" w:w="4873"/>
          </w:tcPr>
          <w:p>
            <w:r>
              <w:rPr>
                <w:b w:val="0"/>
                <w:sz w:val="19"/>
              </w:rPr>
              <w:t>KI-Baustein</w:t>
            </w:r>
          </w:p>
        </w:tc>
        <w:tc>
          <w:tcPr>
            <w:tcW w:type="dxa" w:w="4873"/>
          </w:tcPr>
          <w:p>
            <w:r>
              <w:rPr>
                <w:b w:val="0"/>
                <w:sz w:val="19"/>
              </w:rPr>
              <w:t>Liest die Anfrage, ordnet Thema und Dringlichkeit zu, erkennt Spam und Bewerbungen, schlägt eine Antwort vor</w:t>
            </w:r>
          </w:p>
        </w:tc>
      </w:tr>
      <w:tr>
        <w:tc>
          <w:tcPr>
            <w:tcW w:type="dxa" w:w="4873"/>
          </w:tcPr>
          <w:p>
            <w:r>
              <w:rPr>
                <w:b w:val="0"/>
                <w:sz w:val="19"/>
              </w:rPr>
              <w:t>Schritte</w:t>
            </w:r>
          </w:p>
        </w:tc>
        <w:tc>
          <w:tcPr>
            <w:tcW w:type="dxa" w:w="4873"/>
          </w:tcPr>
          <w:p>
            <w:r>
              <w:rPr>
                <w:b w:val="0"/>
                <w:sz w:val="19"/>
              </w:rPr>
              <w:t>1. Anfrage im CRM anlegen · 2. KI-Einordnung als Feld speichern · 3. Antwortentwurf an zuständige Person · 4. Person prüft und sendet · 5. Erinnerung, wenn nach 24 Stunden nichts passiert ist</w:t>
            </w:r>
          </w:p>
        </w:tc>
      </w:tr>
      <w:tr>
        <w:tc>
          <w:tcPr>
            <w:tcW w:type="dxa" w:w="4873"/>
          </w:tcPr>
          <w:p>
            <w:r>
              <w:rPr>
                <w:b w:val="0"/>
                <w:sz w:val="19"/>
              </w:rPr>
              <w:t>Kennzahl</w:t>
            </w:r>
          </w:p>
        </w:tc>
        <w:tc>
          <w:tcPr>
            <w:tcW w:type="dxa" w:w="4873"/>
          </w:tcPr>
          <w:p>
            <w:r>
              <w:rPr>
                <w:b w:val="0"/>
                <w:sz w:val="19"/>
              </w:rPr>
              <w:t>Zeit bis zur ersten Antwort</w:t>
            </w:r>
          </w:p>
        </w:tc>
      </w:tr>
      <w:tr>
        <w:tc>
          <w:tcPr>
            <w:tcW w:type="dxa" w:w="4873"/>
          </w:tcPr>
          <w:p>
            <w:r>
              <w:rPr>
                <w:b w:val="0"/>
                <w:sz w:val="19"/>
              </w:rPr>
              <w:t>Daten</w:t>
            </w:r>
          </w:p>
        </w:tc>
        <w:tc>
          <w:tcPr>
            <w:tcW w:type="dxa" w:w="4873"/>
          </w:tcPr>
          <w:p>
            <w:r>
              <w:rPr>
                <w:b w:val="0"/>
                <w:sz w:val="19"/>
              </w:rPr>
              <w:t>Name, E-Mail, Nachricht. KI-Dienst mit Auftragsverarbeitungsvertrag</w:t>
            </w:r>
          </w:p>
        </w:tc>
      </w:tr>
    </w:tbl>
    <w:p/>
    <w:p>
      <w:pPr>
        <w:pStyle w:val="Heading1"/>
      </w:pPr>
      <w:r>
        <w:rPr>
          <w:b w:val="0"/>
        </w:rPr>
        <w:t>2. Lead bewerten und an den Vertrieb übergeben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pPr>
              <w:shd w:val="clear" w:color="auto" w:fill="DCE6FF"/>
            </w:pPr>
            <w:r>
              <w:rPr>
                <w:b/>
                <w:sz w:val="19"/>
              </w:rPr>
              <w:t>Baustein</w:t>
            </w:r>
          </w:p>
        </w:tc>
        <w:tc>
          <w:tcPr>
            <w:tcW w:type="dxa" w:w="4873"/>
          </w:tcPr>
          <w:p>
            <w:pPr>
              <w:shd w:val="clear" w:color="auto" w:fill="DCE6FF"/>
            </w:pPr>
            <w:r>
              <w:rPr>
                <w:b/>
                <w:sz w:val="19"/>
              </w:rPr>
              <w:t>Inhalt</w:t>
            </w:r>
          </w:p>
        </w:tc>
      </w:tr>
      <w:tr>
        <w:tc>
          <w:tcPr>
            <w:tcW w:type="dxa" w:w="4873"/>
          </w:tcPr>
          <w:p>
            <w:r>
              <w:rPr>
                <w:b w:val="0"/>
                <w:sz w:val="19"/>
              </w:rPr>
              <w:t>Auslöser</w:t>
            </w:r>
          </w:p>
        </w:tc>
        <w:tc>
          <w:tcPr>
            <w:tcW w:type="dxa" w:w="4873"/>
          </w:tcPr>
          <w:p>
            <w:r>
              <w:rPr>
                <w:b w:val="0"/>
                <w:sz w:val="19"/>
              </w:rPr>
              <w:t>Neuer Kontakt im CRM oder Download eines Leadmagneten</w:t>
            </w:r>
          </w:p>
        </w:tc>
      </w:tr>
      <w:tr>
        <w:tc>
          <w:tcPr>
            <w:tcW w:type="dxa" w:w="4873"/>
          </w:tcPr>
          <w:p>
            <w:r>
              <w:rPr>
                <w:b w:val="0"/>
                <w:sz w:val="19"/>
              </w:rPr>
              <w:t>KI-Baustein</w:t>
            </w:r>
          </w:p>
        </w:tc>
        <w:tc>
          <w:tcPr>
            <w:tcW w:type="dxa" w:w="4873"/>
          </w:tcPr>
          <w:p>
            <w:r>
              <w:rPr>
                <w:b w:val="0"/>
                <w:sz w:val="19"/>
              </w:rPr>
              <w:t>Ergänzt Firmeninformationen aus öffentlichen Quellen, berechnet einen Score nach Ihren Kriterien, schreibt eine Kurzbegründung</w:t>
            </w:r>
          </w:p>
        </w:tc>
      </w:tr>
      <w:tr>
        <w:tc>
          <w:tcPr>
            <w:tcW w:type="dxa" w:w="4873"/>
          </w:tcPr>
          <w:p>
            <w:r>
              <w:rPr>
                <w:b w:val="0"/>
                <w:sz w:val="19"/>
              </w:rPr>
              <w:t>Schritte</w:t>
            </w:r>
          </w:p>
        </w:tc>
        <w:tc>
          <w:tcPr>
            <w:tcW w:type="dxa" w:w="4873"/>
          </w:tcPr>
          <w:p>
            <w:r>
              <w:rPr>
                <w:b w:val="0"/>
                <w:sz w:val="19"/>
              </w:rPr>
              <w:t>1. Score berechnen · 2. A-Lead: Aufgabe für Vertrieb mit Begründung, Kontakt innerhalb von 24 Stunden · 3. B-Lead: Folge-E-Mails mit passenden Inhalten · 4. C-Lead: Newsletter-Angebot</w:t>
            </w:r>
          </w:p>
        </w:tc>
      </w:tr>
      <w:tr>
        <w:tc>
          <w:tcPr>
            <w:tcW w:type="dxa" w:w="4873"/>
          </w:tcPr>
          <w:p>
            <w:r>
              <w:rPr>
                <w:b w:val="0"/>
                <w:sz w:val="19"/>
              </w:rPr>
              <w:t>Kennzahl</w:t>
            </w:r>
          </w:p>
        </w:tc>
        <w:tc>
          <w:tcPr>
            <w:tcW w:type="dxa" w:w="4873"/>
          </w:tcPr>
          <w:p>
            <w:r>
              <w:rPr>
                <w:b w:val="0"/>
                <w:sz w:val="19"/>
              </w:rPr>
              <w:t>Anteil der A-Leads, die zu einem Angebot führen</w:t>
            </w:r>
          </w:p>
        </w:tc>
      </w:tr>
      <w:tr>
        <w:tc>
          <w:tcPr>
            <w:tcW w:type="dxa" w:w="4873"/>
          </w:tcPr>
          <w:p>
            <w:r>
              <w:rPr>
                <w:b w:val="0"/>
                <w:sz w:val="19"/>
              </w:rPr>
              <w:t>Daten</w:t>
            </w:r>
          </w:p>
        </w:tc>
        <w:tc>
          <w:tcPr>
            <w:tcW w:type="dxa" w:w="4873"/>
          </w:tcPr>
          <w:p>
            <w:r>
              <w:rPr>
                <w:b w:val="0"/>
                <w:sz w:val="19"/>
              </w:rPr>
              <w:t>Nur Firmendaten und Angaben aus dem Formular. Verhaltensdaten nur mit Einwilligung</w:t>
            </w:r>
          </w:p>
        </w:tc>
      </w:tr>
    </w:tbl>
    <w:p/>
    <w:p>
      <w:pPr>
        <w:pStyle w:val="Heading1"/>
      </w:pPr>
      <w:r>
        <w:rPr>
          <w:b w:val="0"/>
        </w:rPr>
        <w:t>3. Willkommensstrecke nach dem Download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pPr>
              <w:shd w:val="clear" w:color="auto" w:fill="DCE6FF"/>
            </w:pPr>
            <w:r>
              <w:rPr>
                <w:b/>
                <w:sz w:val="19"/>
              </w:rPr>
              <w:t>Baustein</w:t>
            </w:r>
          </w:p>
        </w:tc>
        <w:tc>
          <w:tcPr>
            <w:tcW w:type="dxa" w:w="4873"/>
          </w:tcPr>
          <w:p>
            <w:pPr>
              <w:shd w:val="clear" w:color="auto" w:fill="DCE6FF"/>
            </w:pPr>
            <w:r>
              <w:rPr>
                <w:b/>
                <w:sz w:val="19"/>
              </w:rPr>
              <w:t>Inhalt</w:t>
            </w:r>
          </w:p>
        </w:tc>
      </w:tr>
      <w:tr>
        <w:tc>
          <w:tcPr>
            <w:tcW w:type="dxa" w:w="4873"/>
          </w:tcPr>
          <w:p>
            <w:r>
              <w:rPr>
                <w:b w:val="0"/>
                <w:sz w:val="19"/>
              </w:rPr>
              <w:t>Auslöser</w:t>
            </w:r>
          </w:p>
        </w:tc>
        <w:tc>
          <w:tcPr>
            <w:tcW w:type="dxa" w:w="4873"/>
          </w:tcPr>
          <w:p>
            <w:r>
              <w:rPr>
                <w:b w:val="0"/>
                <w:sz w:val="19"/>
              </w:rPr>
              <w:t>Download einer Vorlage, Checkliste oder Studie</w:t>
            </w:r>
          </w:p>
        </w:tc>
      </w:tr>
      <w:tr>
        <w:tc>
          <w:tcPr>
            <w:tcW w:type="dxa" w:w="4873"/>
          </w:tcPr>
          <w:p>
            <w:r>
              <w:rPr>
                <w:b w:val="0"/>
                <w:sz w:val="19"/>
              </w:rPr>
              <w:t>KI-Baustein</w:t>
            </w:r>
          </w:p>
        </w:tc>
        <w:tc>
          <w:tcPr>
            <w:tcW w:type="dxa" w:w="4873"/>
          </w:tcPr>
          <w:p>
            <w:r>
              <w:rPr>
                <w:b w:val="0"/>
                <w:sz w:val="19"/>
              </w:rPr>
              <w:t>Wählt aus Ihrer Inhaltsbibliothek die zwei passendsten Artikel zum Download und zur Branche des Kontakts</w:t>
            </w:r>
          </w:p>
        </w:tc>
      </w:tr>
      <w:tr>
        <w:tc>
          <w:tcPr>
            <w:tcW w:type="dxa" w:w="4873"/>
          </w:tcPr>
          <w:p>
            <w:r>
              <w:rPr>
                <w:b w:val="0"/>
                <w:sz w:val="19"/>
              </w:rPr>
              <w:t>Schritte</w:t>
            </w:r>
          </w:p>
        </w:tc>
        <w:tc>
          <w:tcPr>
            <w:tcW w:type="dxa" w:w="4873"/>
          </w:tcPr>
          <w:p>
            <w:r>
              <w:rPr>
                <w:b w:val="0"/>
                <w:sz w:val="19"/>
              </w:rPr>
              <w:t>Tag 0: Download-Link und ein Satz zum Einsatz · Tag 3: Praxisbeispiel · Tag 7: zwei passende Artikel · Tag 14: Angebot eines Gesprächs</w:t>
            </w:r>
          </w:p>
        </w:tc>
      </w:tr>
      <w:tr>
        <w:tc>
          <w:tcPr>
            <w:tcW w:type="dxa" w:w="4873"/>
          </w:tcPr>
          <w:p>
            <w:r>
              <w:rPr>
                <w:b w:val="0"/>
                <w:sz w:val="19"/>
              </w:rPr>
              <w:t>Kennzahl</w:t>
            </w:r>
          </w:p>
        </w:tc>
        <w:tc>
          <w:tcPr>
            <w:tcW w:type="dxa" w:w="4873"/>
          </w:tcPr>
          <w:p>
            <w:r>
              <w:rPr>
                <w:b w:val="0"/>
                <w:sz w:val="19"/>
              </w:rPr>
              <w:t>Antworten und Terminbuchungen pro 100 Downloads</w:t>
            </w:r>
          </w:p>
        </w:tc>
      </w:tr>
      <w:tr>
        <w:tc>
          <w:tcPr>
            <w:tcW w:type="dxa" w:w="4873"/>
          </w:tcPr>
          <w:p>
            <w:r>
              <w:rPr>
                <w:b w:val="0"/>
                <w:sz w:val="19"/>
              </w:rPr>
              <w:t>Daten</w:t>
            </w:r>
          </w:p>
        </w:tc>
        <w:tc>
          <w:tcPr>
            <w:tcW w:type="dxa" w:w="4873"/>
          </w:tcPr>
          <w:p>
            <w:r>
              <w:rPr>
                <w:b w:val="0"/>
                <w:sz w:val="19"/>
              </w:rPr>
              <w:t>Für Werbe-E-Mails brauchen Sie eine Einwilligung (Double-Opt-in). Ohne Einwilligung nur die angeforderte Datei schicken</w:t>
            </w:r>
          </w:p>
        </w:tc>
      </w:tr>
    </w:tbl>
    <w:p/>
    <w:p>
      <w:pPr>
        <w:pStyle w:val="Heading1"/>
      </w:pPr>
      <w:r>
        <w:rPr>
          <w:b w:val="0"/>
        </w:rPr>
        <w:t>4. Webinar oder Veranstaltung nachbereiten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pPr>
              <w:shd w:val="clear" w:color="auto" w:fill="DCE6FF"/>
            </w:pPr>
            <w:r>
              <w:rPr>
                <w:b/>
                <w:sz w:val="19"/>
              </w:rPr>
              <w:t>Baustein</w:t>
            </w:r>
          </w:p>
        </w:tc>
        <w:tc>
          <w:tcPr>
            <w:tcW w:type="dxa" w:w="4873"/>
          </w:tcPr>
          <w:p>
            <w:pPr>
              <w:shd w:val="clear" w:color="auto" w:fill="DCE6FF"/>
            </w:pPr>
            <w:r>
              <w:rPr>
                <w:b/>
                <w:sz w:val="19"/>
              </w:rPr>
              <w:t>Inhalt</w:t>
            </w:r>
          </w:p>
        </w:tc>
      </w:tr>
      <w:tr>
        <w:tc>
          <w:tcPr>
            <w:tcW w:type="dxa" w:w="4873"/>
          </w:tcPr>
          <w:p>
            <w:r>
              <w:rPr>
                <w:b w:val="0"/>
                <w:sz w:val="19"/>
              </w:rPr>
              <w:t>Auslöser</w:t>
            </w:r>
          </w:p>
        </w:tc>
        <w:tc>
          <w:tcPr>
            <w:tcW w:type="dxa" w:w="4873"/>
          </w:tcPr>
          <w:p>
            <w:r>
              <w:rPr>
                <w:b w:val="0"/>
                <w:sz w:val="19"/>
              </w:rPr>
              <w:t>Ende der Veranstaltung, Teilnehmerliste liegt vor</w:t>
            </w:r>
          </w:p>
        </w:tc>
      </w:tr>
      <w:tr>
        <w:tc>
          <w:tcPr>
            <w:tcW w:type="dxa" w:w="4873"/>
          </w:tcPr>
          <w:p>
            <w:r>
              <w:rPr>
                <w:b w:val="0"/>
                <w:sz w:val="19"/>
              </w:rPr>
              <w:t>KI-Baustein</w:t>
            </w:r>
          </w:p>
        </w:tc>
        <w:tc>
          <w:tcPr>
            <w:tcW w:type="dxa" w:w="4873"/>
          </w:tcPr>
          <w:p>
            <w:r>
              <w:rPr>
                <w:b w:val="0"/>
                <w:sz w:val="19"/>
              </w:rPr>
              <w:t>Fasst die Aufzeichnung zusammen, erstellt aus den Fragen im Chat eine FAQ, entwirft zwei Nachfass-E-Mails (teilgenommen / nicht teilgenommen)</w:t>
            </w:r>
          </w:p>
        </w:tc>
      </w:tr>
      <w:tr>
        <w:tc>
          <w:tcPr>
            <w:tcW w:type="dxa" w:w="4873"/>
          </w:tcPr>
          <w:p>
            <w:r>
              <w:rPr>
                <w:b w:val="0"/>
                <w:sz w:val="19"/>
              </w:rPr>
              <w:t>Schritte</w:t>
            </w:r>
          </w:p>
        </w:tc>
        <w:tc>
          <w:tcPr>
            <w:tcW w:type="dxa" w:w="4873"/>
          </w:tcPr>
          <w:p>
            <w:r>
              <w:rPr>
                <w:b w:val="0"/>
                <w:sz w:val="19"/>
              </w:rPr>
              <w:t>1. Zusammenfassung und Aufzeichnung an alle · 2. Wer Fragen gestellt hat: persönliche Nachricht · 3. FAQ als Blogartikel veröffentlichen</w:t>
            </w:r>
          </w:p>
        </w:tc>
      </w:tr>
      <w:tr>
        <w:tc>
          <w:tcPr>
            <w:tcW w:type="dxa" w:w="4873"/>
          </w:tcPr>
          <w:p>
            <w:r>
              <w:rPr>
                <w:b w:val="0"/>
                <w:sz w:val="19"/>
              </w:rPr>
              <w:t>Kennzahl</w:t>
            </w:r>
          </w:p>
        </w:tc>
        <w:tc>
          <w:tcPr>
            <w:tcW w:type="dxa" w:w="4873"/>
          </w:tcPr>
          <w:p>
            <w:r>
              <w:rPr>
                <w:b w:val="0"/>
                <w:sz w:val="19"/>
              </w:rPr>
              <w:t>Gespräche aus der Veranstaltung</w:t>
            </w:r>
          </w:p>
        </w:tc>
      </w:tr>
      <w:tr>
        <w:tc>
          <w:tcPr>
            <w:tcW w:type="dxa" w:w="4873"/>
          </w:tcPr>
          <w:p>
            <w:r>
              <w:rPr>
                <w:b w:val="0"/>
                <w:sz w:val="19"/>
              </w:rPr>
              <w:t>Daten</w:t>
            </w:r>
          </w:p>
        </w:tc>
        <w:tc>
          <w:tcPr>
            <w:tcW w:type="dxa" w:w="4873"/>
          </w:tcPr>
          <w:p>
            <w:r>
              <w:rPr>
                <w:b w:val="0"/>
                <w:sz w:val="19"/>
              </w:rPr>
              <w:t>Aufzeichnung nur mit Hinweis an die Teilnehmenden</w:t>
            </w:r>
          </w:p>
        </w:tc>
      </w:tr>
    </w:tbl>
    <w:p/>
    <w:p>
      <w:pPr>
        <w:pStyle w:val="Heading1"/>
      </w:pPr>
      <w:r>
        <w:rPr>
          <w:b w:val="0"/>
        </w:rPr>
        <w:t>5. Content-Wiederverwertung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pPr>
              <w:shd w:val="clear" w:color="auto" w:fill="DCE6FF"/>
            </w:pPr>
            <w:r>
              <w:rPr>
                <w:b/>
                <w:sz w:val="19"/>
              </w:rPr>
              <w:t>Baustein</w:t>
            </w:r>
          </w:p>
        </w:tc>
        <w:tc>
          <w:tcPr>
            <w:tcW w:type="dxa" w:w="4873"/>
          </w:tcPr>
          <w:p>
            <w:pPr>
              <w:shd w:val="clear" w:color="auto" w:fill="DCE6FF"/>
            </w:pPr>
            <w:r>
              <w:rPr>
                <w:b/>
                <w:sz w:val="19"/>
              </w:rPr>
              <w:t>Inhalt</w:t>
            </w:r>
          </w:p>
        </w:tc>
      </w:tr>
      <w:tr>
        <w:tc>
          <w:tcPr>
            <w:tcW w:type="dxa" w:w="4873"/>
          </w:tcPr>
          <w:p>
            <w:r>
              <w:rPr>
                <w:b w:val="0"/>
                <w:sz w:val="19"/>
              </w:rPr>
              <w:t>Auslöser</w:t>
            </w:r>
          </w:p>
        </w:tc>
        <w:tc>
          <w:tcPr>
            <w:tcW w:type="dxa" w:w="4873"/>
          </w:tcPr>
          <w:p>
            <w:r>
              <w:rPr>
                <w:b w:val="0"/>
                <w:sz w:val="19"/>
              </w:rPr>
              <w:t>Neuer Blogartikel ist veröffentlicht</w:t>
            </w:r>
          </w:p>
        </w:tc>
      </w:tr>
      <w:tr>
        <w:tc>
          <w:tcPr>
            <w:tcW w:type="dxa" w:w="4873"/>
          </w:tcPr>
          <w:p>
            <w:r>
              <w:rPr>
                <w:b w:val="0"/>
                <w:sz w:val="19"/>
              </w:rPr>
              <w:t>KI-Baustein</w:t>
            </w:r>
          </w:p>
        </w:tc>
        <w:tc>
          <w:tcPr>
            <w:tcW w:type="dxa" w:w="4873"/>
          </w:tcPr>
          <w:p>
            <w:r>
              <w:rPr>
                <w:b w:val="0"/>
                <w:sz w:val="19"/>
              </w:rPr>
              <w:t>Erstellt Entwürfe für drei LinkedIn-Beiträge, einen Newsletter-Absatz und Kurztexte für Anzeigen</w:t>
            </w:r>
          </w:p>
        </w:tc>
      </w:tr>
      <w:tr>
        <w:tc>
          <w:tcPr>
            <w:tcW w:type="dxa" w:w="4873"/>
          </w:tcPr>
          <w:p>
            <w:r>
              <w:rPr>
                <w:b w:val="0"/>
                <w:sz w:val="19"/>
              </w:rPr>
              <w:t>Schritte</w:t>
            </w:r>
          </w:p>
        </w:tc>
        <w:tc>
          <w:tcPr>
            <w:tcW w:type="dxa" w:w="4873"/>
          </w:tcPr>
          <w:p>
            <w:r>
              <w:rPr>
                <w:b w:val="0"/>
                <w:sz w:val="19"/>
              </w:rPr>
              <w:t>1. Entwürfe landen als Aufgaben im Redaktionsplan · 2. Mensch überarbeitet und plant · 3. Veröffentlichung über das Planungswerkzeug</w:t>
            </w:r>
          </w:p>
        </w:tc>
      </w:tr>
      <w:tr>
        <w:tc>
          <w:tcPr>
            <w:tcW w:type="dxa" w:w="4873"/>
          </w:tcPr>
          <w:p>
            <w:r>
              <w:rPr>
                <w:b w:val="0"/>
                <w:sz w:val="19"/>
              </w:rPr>
              <w:t>Kennzahl</w:t>
            </w:r>
          </w:p>
        </w:tc>
        <w:tc>
          <w:tcPr>
            <w:tcW w:type="dxa" w:w="4873"/>
          </w:tcPr>
          <w:p>
            <w:r>
              <w:rPr>
                <w:b w:val="0"/>
                <w:sz w:val="19"/>
              </w:rPr>
              <w:t>Veröffentlichte Beiträge pro Artikel, Zeitaufwand pro Beitrag</w:t>
            </w:r>
          </w:p>
        </w:tc>
      </w:tr>
      <w:tr>
        <w:tc>
          <w:tcPr>
            <w:tcW w:type="dxa" w:w="4873"/>
          </w:tcPr>
          <w:p>
            <w:r>
              <w:rPr>
                <w:b w:val="0"/>
                <w:sz w:val="19"/>
              </w:rPr>
              <w:t>Daten</w:t>
            </w:r>
          </w:p>
        </w:tc>
        <w:tc>
          <w:tcPr>
            <w:tcW w:type="dxa" w:w="4873"/>
          </w:tcPr>
          <w:p>
            <w:r>
              <w:rPr>
                <w:b w:val="0"/>
                <w:sz w:val="19"/>
              </w:rPr>
              <w:t>Keine personenbezogenen Daten nötig</w:t>
            </w:r>
          </w:p>
        </w:tc>
      </w:tr>
    </w:tbl>
    <w:p/>
    <w:p>
      <w:pPr>
        <w:pStyle w:val="Heading1"/>
      </w:pPr>
      <w:r>
        <w:rPr>
          <w:b w:val="0"/>
        </w:rPr>
        <w:t>6. Inaktive Kontakte reaktivieren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pPr>
              <w:shd w:val="clear" w:color="auto" w:fill="DCE6FF"/>
            </w:pPr>
            <w:r>
              <w:rPr>
                <w:b/>
                <w:sz w:val="19"/>
              </w:rPr>
              <w:t>Baustein</w:t>
            </w:r>
          </w:p>
        </w:tc>
        <w:tc>
          <w:tcPr>
            <w:tcW w:type="dxa" w:w="4873"/>
          </w:tcPr>
          <w:p>
            <w:pPr>
              <w:shd w:val="clear" w:color="auto" w:fill="DCE6FF"/>
            </w:pPr>
            <w:r>
              <w:rPr>
                <w:b/>
                <w:sz w:val="19"/>
              </w:rPr>
              <w:t>Inhalt</w:t>
            </w:r>
          </w:p>
        </w:tc>
      </w:tr>
      <w:tr>
        <w:tc>
          <w:tcPr>
            <w:tcW w:type="dxa" w:w="4873"/>
          </w:tcPr>
          <w:p>
            <w:r>
              <w:rPr>
                <w:b w:val="0"/>
                <w:sz w:val="19"/>
              </w:rPr>
              <w:t>Auslöser</w:t>
            </w:r>
          </w:p>
        </w:tc>
        <w:tc>
          <w:tcPr>
            <w:tcW w:type="dxa" w:w="4873"/>
          </w:tcPr>
          <w:p>
            <w:r>
              <w:rPr>
                <w:b w:val="0"/>
                <w:sz w:val="19"/>
              </w:rPr>
              <w:t>Kontakt hat seit 6 Monaten keine E-Mail geöffnet und die Website nicht besucht</w:t>
            </w:r>
          </w:p>
        </w:tc>
      </w:tr>
      <w:tr>
        <w:tc>
          <w:tcPr>
            <w:tcW w:type="dxa" w:w="4873"/>
          </w:tcPr>
          <w:p>
            <w:r>
              <w:rPr>
                <w:b w:val="0"/>
                <w:sz w:val="19"/>
              </w:rPr>
              <w:t>KI-Baustein</w:t>
            </w:r>
          </w:p>
        </w:tc>
        <w:tc>
          <w:tcPr>
            <w:tcW w:type="dxa" w:w="4873"/>
          </w:tcPr>
          <w:p>
            <w:r>
              <w:rPr>
                <w:b w:val="0"/>
                <w:sz w:val="19"/>
              </w:rPr>
              <w:t>Schlägt eine kurze, persönliche Nachricht vor, die an die letzte Interaktion anknüpft</w:t>
            </w:r>
          </w:p>
        </w:tc>
      </w:tr>
      <w:tr>
        <w:tc>
          <w:tcPr>
            <w:tcW w:type="dxa" w:w="4873"/>
          </w:tcPr>
          <w:p>
            <w:r>
              <w:rPr>
                <w:b w:val="0"/>
                <w:sz w:val="19"/>
              </w:rPr>
              <w:t>Schritte</w:t>
            </w:r>
          </w:p>
        </w:tc>
        <w:tc>
          <w:tcPr>
            <w:tcW w:type="dxa" w:w="4873"/>
          </w:tcPr>
          <w:p>
            <w:r>
              <w:rPr>
                <w:b w:val="0"/>
                <w:sz w:val="19"/>
              </w:rPr>
              <w:t>1. Eine Reaktivierungs-E-Mail · 2. Keine Reaktion nach 30 Tagen: Kontakt aus dem Newsletter-Verteiler nehmen · 3. Reaktion: zurück in die normale Strecke</w:t>
            </w:r>
          </w:p>
        </w:tc>
      </w:tr>
      <w:tr>
        <w:tc>
          <w:tcPr>
            <w:tcW w:type="dxa" w:w="4873"/>
          </w:tcPr>
          <w:p>
            <w:r>
              <w:rPr>
                <w:b w:val="0"/>
                <w:sz w:val="19"/>
              </w:rPr>
              <w:t>Kennzahl</w:t>
            </w:r>
          </w:p>
        </w:tc>
        <w:tc>
          <w:tcPr>
            <w:tcW w:type="dxa" w:w="4873"/>
          </w:tcPr>
          <w:p>
            <w:r>
              <w:rPr>
                <w:b w:val="0"/>
                <w:sz w:val="19"/>
              </w:rPr>
              <w:t>Zustellbarkeit, Beschwerdequote unter 0,1 %</w:t>
            </w:r>
          </w:p>
        </w:tc>
      </w:tr>
      <w:tr>
        <w:tc>
          <w:tcPr>
            <w:tcW w:type="dxa" w:w="4873"/>
          </w:tcPr>
          <w:p>
            <w:r>
              <w:rPr>
                <w:b w:val="0"/>
                <w:sz w:val="19"/>
              </w:rPr>
              <w:t>Daten</w:t>
            </w:r>
          </w:p>
        </w:tc>
        <w:tc>
          <w:tcPr>
            <w:tcW w:type="dxa" w:w="4873"/>
          </w:tcPr>
          <w:p>
            <w:r>
              <w:rPr>
                <w:b w:val="0"/>
                <w:sz w:val="19"/>
              </w:rPr>
              <w:t>Saubere Liste schützt Ihre Zustellbarkeit bei Gmail und Yahoo</w:t>
            </w:r>
          </w:p>
        </w:tc>
      </w:tr>
    </w:tbl>
    <w:p/>
    <w:p>
      <w:pPr>
        <w:pStyle w:val="Heading1"/>
      </w:pPr>
      <w:r>
        <w:rPr>
          <w:b w:val="0"/>
        </w:rPr>
        <w:t>Vor dem Start</w:t>
      </w:r>
    </w:p>
    <w:p>
      <w:pPr>
        <w:spacing w:after="60"/>
        <w:ind w:left="340" w:hanging="340"/>
      </w:pPr>
      <w:r>
        <w:rPr>
          <w:b w:val="0"/>
        </w:rPr>
        <w:t>☐</w:t>
        <w:tab/>
        <w:t>Ziel und Kennzahl für den ersten Ablauf festgelegt</w:t>
      </w:r>
    </w:p>
    <w:p>
      <w:pPr>
        <w:spacing w:after="60"/>
        <w:ind w:left="340" w:hanging="340"/>
      </w:pPr>
      <w:r>
        <w:rPr>
          <w:b w:val="0"/>
        </w:rPr>
        <w:t>☐</w:t>
        <w:tab/>
        <w:t>Ausgangswert gemessen (z. B. heutige Antwortzeit)</w:t>
      </w:r>
    </w:p>
    <w:p>
      <w:pPr>
        <w:spacing w:after="60"/>
        <w:ind w:left="340" w:hanging="340"/>
      </w:pPr>
      <w:r>
        <w:rPr>
          <w:b w:val="0"/>
        </w:rPr>
        <w:t>☐</w:t>
        <w:tab/>
        <w:t>Einwilligungen geprüft: Wer darf welche E-Mails bekommen?</w:t>
      </w:r>
    </w:p>
    <w:p>
      <w:pPr>
        <w:spacing w:after="60"/>
        <w:ind w:left="340" w:hanging="340"/>
      </w:pPr>
      <w:r>
        <w:rPr>
          <w:b w:val="0"/>
        </w:rPr>
        <w:t>☐</w:t>
        <w:tab/>
        <w:t>KI-Dienst mit Auftragsverarbeitungsvertrag, keine sensiblen Daten im Prompt</w:t>
      </w:r>
    </w:p>
    <w:p>
      <w:pPr>
        <w:spacing w:after="60"/>
        <w:ind w:left="340" w:hanging="340"/>
      </w:pPr>
      <w:r>
        <w:rPr>
          <w:b w:val="0"/>
        </w:rPr>
        <w:t>☐</w:t>
        <w:tab/>
        <w:t>Freigabe durch einen Menschen für alles, was an Kunden geht</w:t>
      </w:r>
    </w:p>
    <w:p>
      <w:pPr>
        <w:spacing w:after="60"/>
        <w:ind w:left="340" w:hanging="340"/>
      </w:pPr>
      <w:r>
        <w:rPr>
          <w:b w:val="0"/>
        </w:rPr>
        <w:t>☐</w:t>
        <w:tab/>
        <w:t>Verantwortliche Person für den Ablauf benannt</w:t>
      </w:r>
    </w:p>
    <w:p>
      <w:pPr>
        <w:spacing w:after="60"/>
        <w:ind w:left="340" w:hanging="340"/>
      </w:pPr>
      <w:r>
        <w:rPr>
          <w:b w:val="0"/>
        </w:rPr>
        <w:t>☐</w:t>
        <w:tab/>
        <w:t>Nach vier Wochen: Kennzahl vergleichen, Ablauf anpassen</w:t>
      </w:r>
    </w:p>
    <w:p>
      <w:r>
        <w:rPr>
          <w:b w:val="0"/>
        </w:rPr>
        <w:t>Ausführlich im Artikel: https://kistrategie.de/blog/marketing-automation/ · Erstgespräch: https://kistrategie.de/erstgespraech/</w:t>
      </w:r>
    </w:p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A99"/>
        <w:sz w:val="16"/>
      </w:rPr>
      <w:t>kistrategie.de · Christoph Weingärtner, KI-Beratung und INQA-Coaching · Stand Oktober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1D3A9E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C46F12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1D3A9E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 Workflow-Vorlagen für Marketing Automation mit KI</dc:title>
  <dc:subject/>
  <dc:creator>Christoph Weingärtner, kistrategie.de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