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Datenschutz-Prüfliste für KI-Werkzeuge</w:t>
      </w:r>
    </w:p>
    <w:p>
      <w:r>
        <w:rPr>
          <w:color w:val="6B7A99"/>
          <w:sz w:val="18"/>
        </w:rPr>
        <w:t>Datenschutz-Prüfliste KI-Werkzeuge · kistrategie.de</w:t>
      </w:r>
    </w:p>
    <w:p>
      <w:r>
        <w:rPr>
          <w:b w:val="0"/>
        </w:rPr>
        <w:t>Vor der Freigabe eines KI-Werkzeugs für Ihr Team. Füllen Sie die Liste pro Werkzeug aus und legen Sie sie zu Ihren Datenschutz-Unterlagen.</w:t>
      </w:r>
    </w:p>
    <w:p>
      <w:pPr>
        <w:pStyle w:val="Heading1"/>
      </w:pPr>
      <w:r>
        <w:rPr>
          <w:b w:val="0"/>
        </w:rPr>
        <w:t>Stammdaten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Feld</w:t>
            </w:r>
          </w:p>
        </w:tc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Angabe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Werkzeug und Tarif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[z. B. KI-Assistent, Business-Tarif]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Anbieter, Sitz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Zweck im Unternehmen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[z. B. Texte entwerfen, Anfragen zusammenfassen]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Nutzergruppe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[Abteilungen, Anzahl]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Geprüft von, am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[Name, Datum]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Fassung der Bedingungen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[Datum oder Version]</w:t>
            </w:r>
          </w:p>
        </w:tc>
      </w:tr>
    </w:tbl>
    <w:p/>
    <w:p>
      <w:pPr>
        <w:pStyle w:val="Heading1"/>
      </w:pPr>
      <w:r>
        <w:rPr>
          <w:b w:val="0"/>
        </w:rPr>
        <w:t>Prüfpunkte</w:t>
      </w:r>
    </w:p>
    <w:p>
      <w:pPr>
        <w:spacing w:after="60"/>
        <w:ind w:left="340" w:hanging="340"/>
      </w:pPr>
      <w:r>
        <w:rPr>
          <w:b w:val="0"/>
        </w:rPr>
        <w:t>☐</w:t>
        <w:tab/>
        <w:t>Auftragsverarbeitungsvertrag nach Art. 28 DSGVO liegt vor und gilt für diesen Tarif</w:t>
      </w:r>
    </w:p>
    <w:p>
      <w:pPr>
        <w:spacing w:after="60"/>
        <w:ind w:left="340" w:hanging="340"/>
      </w:pPr>
      <w:r>
        <w:rPr>
          <w:b w:val="0"/>
        </w:rPr>
        <w:t>☐</w:t>
        <w:tab/>
        <w:t>Eingaben werden nicht zum Training der Modelle genutzt</w:t>
      </w:r>
    </w:p>
    <w:p>
      <w:pPr>
        <w:spacing w:after="60"/>
        <w:ind w:left="340" w:hanging="340"/>
      </w:pPr>
      <w:r>
        <w:rPr>
          <w:b w:val="0"/>
        </w:rPr>
        <w:t>☐</w:t>
        <w:tab/>
        <w:t xml:space="preserve">Speicherort bekannt: </w:t>
      </w:r>
      <w:r>
        <w:rPr>
          <w:b w:val="0"/>
          <w:highlight w:val="yellow"/>
        </w:rPr>
        <w:t>[EU / USA / andere]</w:t>
      </w:r>
    </w:p>
    <w:p>
      <w:pPr>
        <w:spacing w:after="60"/>
        <w:ind w:left="340" w:hanging="340"/>
      </w:pPr>
      <w:r>
        <w:rPr>
          <w:b w:val="0"/>
        </w:rPr>
        <w:t>☐</w:t>
        <w:tab/>
        <w:t>Bei Übermittlung in Drittländer: Grundlage geprüft (z. B. Data Privacy Framework, Standardvertragsklauseln)</w:t>
      </w:r>
    </w:p>
    <w:p>
      <w:pPr>
        <w:spacing w:after="60"/>
        <w:ind w:left="340" w:hanging="340"/>
      </w:pPr>
      <w:r>
        <w:rPr>
          <w:b w:val="0"/>
        </w:rPr>
        <w:t>☐</w:t>
        <w:tab/>
        <w:t>Liste der Unterauftragnehmer liegt vor</w:t>
      </w:r>
    </w:p>
    <w:p>
      <w:pPr>
        <w:spacing w:after="60"/>
        <w:ind w:left="340" w:hanging="340"/>
      </w:pPr>
      <w:r>
        <w:rPr>
          <w:b w:val="0"/>
        </w:rPr>
        <w:t>☐</w:t>
        <w:tab/>
        <w:t>Speicherdauer und Löschung von Chats und Dateien steuerbar</w:t>
      </w:r>
    </w:p>
    <w:p>
      <w:pPr>
        <w:spacing w:after="60"/>
        <w:ind w:left="340" w:hanging="340"/>
      </w:pPr>
      <w:r>
        <w:rPr>
          <w:b w:val="0"/>
        </w:rPr>
        <w:t>☐</w:t>
        <w:tab/>
        <w:t>Firmenkonten mit zentraler Verwaltung, Sperrung bei Austritt</w:t>
      </w:r>
    </w:p>
    <w:p>
      <w:pPr>
        <w:spacing w:after="60"/>
        <w:ind w:left="340" w:hanging="340"/>
      </w:pPr>
      <w:r>
        <w:rPr>
          <w:b w:val="0"/>
        </w:rPr>
        <w:t>☐</w:t>
        <w:tab/>
        <w:t>Zugriffsrechte: Das Werkzeug sieht nur, was es sehen soll</w:t>
      </w:r>
    </w:p>
    <w:p>
      <w:pPr>
        <w:spacing w:after="60"/>
        <w:ind w:left="340" w:hanging="340"/>
      </w:pPr>
      <w:r>
        <w:rPr>
          <w:b w:val="0"/>
        </w:rPr>
        <w:t>☐</w:t>
        <w:tab/>
        <w:t>Sicherheitsnachweise vorhanden (z. B. ISO/IEC 27001, SOC 2)</w:t>
      </w:r>
    </w:p>
    <w:p>
      <w:pPr>
        <w:spacing w:after="60"/>
        <w:ind w:left="340" w:hanging="340"/>
      </w:pPr>
      <w:r>
        <w:rPr>
          <w:b w:val="0"/>
        </w:rPr>
        <w:t>☐</w:t>
        <w:tab/>
        <w:t>Verzeichnis der Verarbeitungstätigkeiten ergänzt</w:t>
      </w:r>
    </w:p>
    <w:p>
      <w:pPr>
        <w:spacing w:after="60"/>
        <w:ind w:left="340" w:hanging="340"/>
      </w:pPr>
      <w:r>
        <w:rPr>
          <w:b w:val="0"/>
        </w:rPr>
        <w:t>☐</w:t>
        <w:tab/>
        <w:t>Information der Beschäftigten bzw. Datenschutzerklärung angepasst</w:t>
      </w:r>
    </w:p>
    <w:p>
      <w:pPr>
        <w:spacing w:after="60"/>
        <w:ind w:left="340" w:hanging="340"/>
      </w:pPr>
      <w:r>
        <w:rPr>
          <w:b w:val="0"/>
        </w:rPr>
        <w:t>☐</w:t>
        <w:tab/>
        <w:t xml:space="preserve">Datenschutz-Folgenabschätzung nötig? </w:t>
      </w:r>
      <w:r>
        <w:rPr>
          <w:b w:val="0"/>
          <w:highlight w:val="yellow"/>
        </w:rPr>
        <w:t>[ja / nein, Begründung]</w:t>
      </w:r>
    </w:p>
    <w:p>
      <w:pPr>
        <w:spacing w:after="60"/>
        <w:ind w:left="340" w:hanging="340"/>
      </w:pPr>
      <w:r>
        <w:rPr>
          <w:b w:val="0"/>
        </w:rPr>
        <w:t>☐</w:t>
        <w:tab/>
        <w:t>Betriebsrat beteiligt, falls Leistungs- oder Verhaltensdaten möglich</w:t>
      </w:r>
    </w:p>
    <w:p>
      <w:pPr>
        <w:pStyle w:val="Heading1"/>
      </w:pPr>
      <w:r>
        <w:rPr>
          <w:b w:val="0"/>
        </w:rPr>
        <w:t>Daten-Ampel für dieses Werkzeug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Farbe</w:t>
            </w:r>
          </w:p>
        </w:tc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Erlaubte Daten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Grün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[öffentliche Informationen, allgemeine Fachfragen]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Gelb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[Kundenanfragen, interne Dokumente, nur pseudonymisiert wo möglich]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Rot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[Gesundheitsdaten, Personalakten, Zugangsdaten, Konstruktionsdaten]</w:t>
            </w:r>
          </w:p>
        </w:tc>
      </w:tr>
    </w:tbl>
    <w:p/>
    <w:p>
      <w:pPr>
        <w:pStyle w:val="Heading1"/>
      </w:pPr>
      <w:r>
        <w:rPr>
          <w:b w:val="0"/>
        </w:rPr>
        <w:t>Entscheidung</w:t>
      </w:r>
    </w:p>
    <w:p>
      <w:pPr>
        <w:spacing w:after="60"/>
        <w:ind w:left="340" w:hanging="340"/>
      </w:pPr>
      <w:r>
        <w:rPr>
          <w:b w:val="0"/>
        </w:rPr>
        <w:t>☐</w:t>
        <w:tab/>
        <w:t>Freigegeben ohne Einschränkung</w:t>
      </w:r>
    </w:p>
    <w:p>
      <w:pPr>
        <w:spacing w:after="60"/>
        <w:ind w:left="340" w:hanging="340"/>
      </w:pPr>
      <w:r>
        <w:rPr>
          <w:b w:val="0"/>
        </w:rPr>
        <w:t>☐</w:t>
        <w:tab/>
        <w:t xml:space="preserve">Freigegeben mit Einschränkungen: </w:t>
      </w:r>
      <w:r>
        <w:rPr>
          <w:b w:val="0"/>
          <w:highlight w:val="yellow"/>
        </w:rPr>
        <w:t>[…]</w:t>
      </w:r>
    </w:p>
    <w:p>
      <w:pPr>
        <w:spacing w:after="60"/>
        <w:ind w:left="340" w:hanging="340"/>
      </w:pPr>
      <w:r>
        <w:rPr>
          <w:b w:val="0"/>
        </w:rPr>
        <w:t>☐</w:t>
        <w:tab/>
        <w:t xml:space="preserve">Nicht freigegeben, Grund: </w:t>
      </w:r>
      <w:r>
        <w:rPr>
          <w:b w:val="0"/>
          <w:highlight w:val="yellow"/>
        </w:rPr>
        <w:t>[…]</w:t>
      </w:r>
    </w:p>
    <w:p>
      <w:r>
        <w:rPr>
          <w:b w:val="0"/>
        </w:rPr>
        <w:t xml:space="preserve">Nächste Überprüfung: </w:t>
      </w:r>
      <w:r>
        <w:rPr>
          <w:b w:val="0"/>
          <w:highlight w:val="yellow"/>
        </w:rPr>
        <w:t>[Datum, spätestens in 12 Monaten]</w:t>
      </w:r>
    </w:p>
    <w:p>
      <w:r>
        <w:rPr>
          <w:b w:val="0"/>
        </w:rPr>
        <w:t>Keine Rechtsberatung. Ausführlich: https://kistrategie.de/blog/ki-datenschutz/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A99"/>
        <w:sz w:val="16"/>
      </w:rPr>
      <w:t>kistrategie.de · Christoph Weingärtner, KI-Beratung und INQA-Coaching · Stand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D3A9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C46F1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D3A9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Datenschutz-Prüfliste für KI-Werkzeuge</dc:title>
  <dc:subject/>
  <dc:creator>Christoph Weingärtner, kistrategie.de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