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 w:val="0"/>
        </w:rPr>
        <w:t>KI-Compliance-Checkliste für den Mittelstand (Stand Oktober 2026)</w:t>
      </w:r>
    </w:p>
    <w:p>
      <w:r>
        <w:rPr>
          <w:color w:val="6B7A99"/>
          <w:sz w:val="18"/>
        </w:rPr>
        <w:t>KI-Compliance-Checkliste · kistrategie.de</w:t>
      </w:r>
    </w:p>
    <w:p>
      <w:r>
        <w:rPr>
          <w:b w:val="0"/>
        </w:rPr>
        <w:t>Diese Checkliste fasst die wichtigsten Pflichten beim Einsatz von KI zusammen. Sie ersetzt keine Rechtsberatung, zeigt aber, wo Sie stehen und was noch fehlt.</w:t>
      </w:r>
    </w:p>
    <w:p>
      <w:pPr>
        <w:pStyle w:val="Heading1"/>
      </w:pPr>
      <w:r>
        <w:rPr>
          <w:b w:val="0"/>
        </w:rPr>
        <w:t>1. Überblick und Einstufung</w:t>
      </w:r>
    </w:p>
    <w:p>
      <w:pPr>
        <w:spacing w:after="60"/>
        <w:ind w:left="340" w:hanging="340"/>
      </w:pPr>
      <w:r>
        <w:rPr>
          <w:b w:val="0"/>
        </w:rPr>
        <w:t>☐</w:t>
        <w:tab/>
        <w:t>Liste aller genutzten KI-Werkzeuge und -Funktionen, auch inoffiziell genutzter</w:t>
      </w:r>
    </w:p>
    <w:p>
      <w:pPr>
        <w:spacing w:after="60"/>
        <w:ind w:left="340" w:hanging="340"/>
      </w:pPr>
      <w:r>
        <w:rPr>
          <w:b w:val="0"/>
        </w:rPr>
        <w:t>☐</w:t>
        <w:tab/>
        <w:t>Für jedes Werkzeug: Rolle als Betreiber oder Anbieter geklärt</w:t>
      </w:r>
    </w:p>
    <w:p>
      <w:pPr>
        <w:spacing w:after="60"/>
        <w:ind w:left="340" w:hanging="340"/>
      </w:pPr>
      <w:r>
        <w:rPr>
          <w:b w:val="0"/>
        </w:rPr>
        <w:t>☐</w:t>
        <w:tab/>
        <w:t>Keine verbotenen Praktiken (z. B. Emotionserkennung am Arbeitsplatz, Social Scoring)</w:t>
      </w:r>
    </w:p>
    <w:p>
      <w:pPr>
        <w:spacing w:after="60"/>
        <w:ind w:left="340" w:hanging="340"/>
      </w:pPr>
      <w:r>
        <w:rPr>
          <w:b w:val="0"/>
        </w:rPr>
        <w:t>☐</w:t>
        <w:tab/>
        <w:t>Hochrisiko-Anwendungen identifiziert (z. B. Personalauswahl, Kreditwürdigkeit) und rechtlich geprüft</w:t>
      </w:r>
    </w:p>
    <w:p>
      <w:pPr>
        <w:spacing w:after="60"/>
        <w:ind w:left="340" w:hanging="340"/>
      </w:pPr>
      <w:r>
        <w:rPr>
          <w:b w:val="0"/>
        </w:rPr>
        <w:t>☐</w:t>
        <w:tab/>
        <w:t>Chatbots und synthetische Inhalte für Transparenzpflichten nach Art. 50 erfasst</w:t>
      </w:r>
    </w:p>
    <w:p>
      <w:pPr>
        <w:pStyle w:val="Heading1"/>
      </w:pPr>
      <w:r>
        <w:rPr>
          <w:b w:val="0"/>
        </w:rPr>
        <w:t>2. KI-Kompetenz (Art. 4 KI-Verordnung)</w:t>
      </w:r>
    </w:p>
    <w:p>
      <w:pPr>
        <w:spacing w:after="60"/>
        <w:ind w:left="340" w:hanging="340"/>
      </w:pPr>
      <w:r>
        <w:rPr>
          <w:b w:val="0"/>
        </w:rPr>
        <w:t>☐</w:t>
        <w:tab/>
        <w:t>Grundschulung für alle Nutzerinnen und Nutzer durchgeführt</w:t>
      </w:r>
    </w:p>
    <w:p>
      <w:pPr>
        <w:spacing w:after="60"/>
        <w:ind w:left="340" w:hanging="340"/>
      </w:pPr>
      <w:r>
        <w:rPr>
          <w:b w:val="0"/>
        </w:rPr>
        <w:t>☐</w:t>
        <w:tab/>
        <w:t>Vertiefungen für Intensivnutzer und Verantwortliche</w:t>
      </w:r>
    </w:p>
    <w:p>
      <w:pPr>
        <w:spacing w:after="60"/>
        <w:ind w:left="340" w:hanging="340"/>
      </w:pPr>
      <w:r>
        <w:rPr>
          <w:b w:val="0"/>
        </w:rPr>
        <w:t>☐</w:t>
        <w:tab/>
        <w:t>Externe, die mit Ihren KI-Werkzeugen arbeiten, eingewiesen</w:t>
      </w:r>
    </w:p>
    <w:p>
      <w:pPr>
        <w:spacing w:after="60"/>
        <w:ind w:left="340" w:hanging="340"/>
      </w:pPr>
      <w:r>
        <w:rPr>
          <w:b w:val="0"/>
        </w:rPr>
        <w:t>☐</w:t>
        <w:tab/>
        <w:t>Nachweise dokumentiert: wer, wann, welche Inhalte, nächste Auffrischung</w:t>
      </w:r>
    </w:p>
    <w:p>
      <w:pPr>
        <w:pStyle w:val="Heading1"/>
      </w:pPr>
      <w:r>
        <w:rPr>
          <w:b w:val="0"/>
        </w:rPr>
        <w:t>3. Datenschutz (DSGVO)</w:t>
      </w:r>
    </w:p>
    <w:p>
      <w:pPr>
        <w:spacing w:after="60"/>
        <w:ind w:left="340" w:hanging="340"/>
      </w:pPr>
      <w:r>
        <w:rPr>
          <w:b w:val="0"/>
        </w:rPr>
        <w:t>☐</w:t>
        <w:tab/>
        <w:t>Auftragsverarbeitungsvertrag für jedes Werkzeug mit personenbezogenen Daten</w:t>
      </w:r>
    </w:p>
    <w:p>
      <w:pPr>
        <w:spacing w:after="60"/>
        <w:ind w:left="340" w:hanging="340"/>
      </w:pPr>
      <w:r>
        <w:rPr>
          <w:b w:val="0"/>
        </w:rPr>
        <w:t>☐</w:t>
        <w:tab/>
        <w:t>Kein Training mit Ihren Eingaben</w:t>
      </w:r>
    </w:p>
    <w:p>
      <w:pPr>
        <w:spacing w:after="60"/>
        <w:ind w:left="340" w:hanging="340"/>
      </w:pPr>
      <w:r>
        <w:rPr>
          <w:b w:val="0"/>
        </w:rPr>
        <w:t>☐</w:t>
        <w:tab/>
        <w:t>Drittlandübermittlung geprüft (z. B. EU-US Data Privacy Framework)</w:t>
      </w:r>
    </w:p>
    <w:p>
      <w:pPr>
        <w:spacing w:after="60"/>
        <w:ind w:left="340" w:hanging="340"/>
      </w:pPr>
      <w:r>
        <w:rPr>
          <w:b w:val="0"/>
        </w:rPr>
        <w:t>☐</w:t>
        <w:tab/>
        <w:t>Verzeichnis der Verarbeitungstätigkeiten ergänzt</w:t>
      </w:r>
    </w:p>
    <w:p>
      <w:pPr>
        <w:spacing w:after="60"/>
        <w:ind w:left="340" w:hanging="340"/>
      </w:pPr>
      <w:r>
        <w:rPr>
          <w:b w:val="0"/>
        </w:rPr>
        <w:t>☐</w:t>
        <w:tab/>
        <w:t>Datenschutzerklärung und Beschäftigteninformation angepasst</w:t>
      </w:r>
    </w:p>
    <w:p>
      <w:pPr>
        <w:spacing w:after="60"/>
        <w:ind w:left="340" w:hanging="340"/>
      </w:pPr>
      <w:r>
        <w:rPr>
          <w:b w:val="0"/>
        </w:rPr>
        <w:t>☐</w:t>
        <w:tab/>
        <w:t>Datenschutz-Folgenabschätzung bei hohem Risiko</w:t>
      </w:r>
    </w:p>
    <w:p>
      <w:pPr>
        <w:spacing w:after="60"/>
        <w:ind w:left="340" w:hanging="340"/>
      </w:pPr>
      <w:r>
        <w:rPr>
          <w:b w:val="0"/>
        </w:rPr>
        <w:t>☐</w:t>
        <w:tab/>
        <w:t>Keine Entscheidungen mit rechtlicher Wirkung ausschließlich durch KI (Art. 22)</w:t>
      </w:r>
    </w:p>
    <w:p>
      <w:pPr>
        <w:pStyle w:val="Heading1"/>
      </w:pPr>
      <w:r>
        <w:rPr>
          <w:b w:val="0"/>
        </w:rPr>
        <w:t>4. Urheberrecht und Kennzeichnung</w:t>
      </w:r>
    </w:p>
    <w:p>
      <w:pPr>
        <w:spacing w:after="60"/>
        <w:ind w:left="340" w:hanging="340"/>
      </w:pPr>
      <w:r>
        <w:rPr>
          <w:b w:val="0"/>
        </w:rPr>
        <w:t>☐</w:t>
        <w:tab/>
        <w:t>Nutzungsbedingungen der Werkzeuge geprüft (kommerzielle Nutzung, Rechte an Ergebnissen)</w:t>
      </w:r>
    </w:p>
    <w:p>
      <w:pPr>
        <w:spacing w:after="60"/>
        <w:ind w:left="340" w:hanging="340"/>
      </w:pPr>
      <w:r>
        <w:rPr>
          <w:b w:val="0"/>
        </w:rPr>
        <w:t>☐</w:t>
        <w:tab/>
        <w:t>Keine fremden Marken, Figuren oder erkennbaren Personen ohne Rechteklärung</w:t>
      </w:r>
    </w:p>
    <w:p>
      <w:pPr>
        <w:spacing w:after="60"/>
        <w:ind w:left="340" w:hanging="340"/>
      </w:pPr>
      <w:r>
        <w:rPr>
          <w:b w:val="0"/>
        </w:rPr>
        <w:t>☐</w:t>
        <w:tab/>
        <w:t>Deepfakes werden gekennzeichnet</w:t>
      </w:r>
    </w:p>
    <w:p>
      <w:pPr>
        <w:spacing w:after="60"/>
        <w:ind w:left="340" w:hanging="340"/>
      </w:pPr>
      <w:r>
        <w:rPr>
          <w:b w:val="0"/>
        </w:rPr>
        <w:t>☐</w:t>
        <w:tab/>
        <w:t>Verträge mit Agenturen regeln den KI-Einsatz</w:t>
      </w:r>
    </w:p>
    <w:p>
      <w:pPr>
        <w:spacing w:after="60"/>
        <w:ind w:left="340" w:hanging="340"/>
      </w:pPr>
      <w:r>
        <w:rPr>
          <w:b w:val="0"/>
        </w:rPr>
        <w:t>☐</w:t>
        <w:tab/>
        <w:t>Maschinenlesbarer Vorbehalt gegen KI-Training, falls gewünscht</w:t>
      </w:r>
    </w:p>
    <w:p>
      <w:pPr>
        <w:pStyle w:val="Heading1"/>
      </w:pPr>
      <w:r>
        <w:rPr>
          <w:b w:val="0"/>
        </w:rPr>
        <w:t>5. Arbeitsrecht</w:t>
      </w:r>
    </w:p>
    <w:p>
      <w:pPr>
        <w:spacing w:after="60"/>
        <w:ind w:left="340" w:hanging="340"/>
      </w:pPr>
      <w:r>
        <w:rPr>
          <w:b w:val="0"/>
        </w:rPr>
        <w:t>☐</w:t>
        <w:tab/>
        <w:t>Betriebsrat über geplante KI-Einsätze unterrichtet (§ 90 BetrVG)</w:t>
      </w:r>
    </w:p>
    <w:p>
      <w:pPr>
        <w:spacing w:after="60"/>
        <w:ind w:left="340" w:hanging="340"/>
      </w:pPr>
      <w:r>
        <w:rPr>
          <w:b w:val="0"/>
        </w:rPr>
        <w:t>☐</w:t>
        <w:tab/>
        <w:t>Mitbestimmung bei Werkzeugen, die Leistung oder Verhalten erfassen können (§ 87 Abs. 1 Nr. 6 BetrVG)</w:t>
      </w:r>
    </w:p>
    <w:p>
      <w:pPr>
        <w:spacing w:after="60"/>
        <w:ind w:left="340" w:hanging="340"/>
      </w:pPr>
      <w:r>
        <w:rPr>
          <w:b w:val="0"/>
        </w:rPr>
        <w:t>☐</w:t>
        <w:tab/>
        <w:t>Betriebsvereinbarung zu KI, falls sinnvoll</w:t>
      </w:r>
    </w:p>
    <w:p>
      <w:pPr>
        <w:pStyle w:val="Heading1"/>
      </w:pPr>
      <w:r>
        <w:rPr>
          <w:b w:val="0"/>
        </w:rPr>
        <w:t>6. Geschäftsgeheimnisse und Sicherheit</w:t>
      </w:r>
    </w:p>
    <w:p>
      <w:pPr>
        <w:spacing w:after="60"/>
        <w:ind w:left="340" w:hanging="340"/>
      </w:pPr>
      <w:r>
        <w:rPr>
          <w:b w:val="0"/>
        </w:rPr>
        <w:t>☐</w:t>
        <w:tab/>
        <w:t>Regel, welche Daten nicht in KI-Werkzeuge dürfen (Daten-Ampel)</w:t>
      </w:r>
    </w:p>
    <w:p>
      <w:pPr>
        <w:spacing w:after="60"/>
        <w:ind w:left="340" w:hanging="340"/>
      </w:pPr>
      <w:r>
        <w:rPr>
          <w:b w:val="0"/>
        </w:rPr>
        <w:t>☐</w:t>
        <w:tab/>
        <w:t>Zugriffsrechte für KI-Werkzeuge mit Zugriff auf Firmendaten geprüft</w:t>
      </w:r>
    </w:p>
    <w:p>
      <w:pPr>
        <w:spacing w:after="60"/>
        <w:ind w:left="340" w:hanging="340"/>
      </w:pPr>
      <w:r>
        <w:rPr>
          <w:b w:val="0"/>
        </w:rPr>
        <w:t>☐</w:t>
        <w:tab/>
        <w:t>Firmenkonten statt privater Konten, Sperrung beim Austritt</w:t>
      </w:r>
    </w:p>
    <w:p>
      <w:pPr>
        <w:pStyle w:val="Heading1"/>
      </w:pPr>
      <w:r>
        <w:rPr>
          <w:b w:val="0"/>
        </w:rPr>
        <w:t>7. Organisation</w:t>
      </w:r>
    </w:p>
    <w:p>
      <w:pPr>
        <w:spacing w:after="60"/>
        <w:ind w:left="340" w:hanging="340"/>
      </w:pPr>
      <w:r>
        <w:rPr>
          <w:b w:val="0"/>
        </w:rPr>
        <w:t>☐</w:t>
        <w:tab/>
        <w:t>KI-Richtlinie in Kraft, allen bekannt</w:t>
      </w:r>
    </w:p>
    <w:p>
      <w:pPr>
        <w:spacing w:after="60"/>
        <w:ind w:left="340" w:hanging="340"/>
      </w:pPr>
      <w:r>
        <w:rPr>
          <w:b w:val="0"/>
        </w:rPr>
        <w:t>☐</w:t>
        <w:tab/>
        <w:t>Ansprechperson für Fragen und Vorfälle benannt</w:t>
      </w:r>
    </w:p>
    <w:p>
      <w:pPr>
        <w:spacing w:after="60"/>
        <w:ind w:left="340" w:hanging="340"/>
      </w:pPr>
      <w:r>
        <w:rPr>
          <w:b w:val="0"/>
        </w:rPr>
        <w:t>☐</w:t>
        <w:tab/>
        <w:t>Jährliche Überprüfung von Richtlinie, Werkzeugliste und Schulungen geplant</w:t>
      </w:r>
    </w:p>
    <w:p>
      <w:pPr>
        <w:pStyle w:val="Heading1"/>
      </w:pPr>
      <w:r>
        <w:rPr>
          <w:b w:val="0"/>
        </w:rPr>
        <w:t>Wichtige Fristen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</w:tcPr>
          <w:p>
            <w:pPr>
              <w:shd w:val="clear" w:color="auto" w:fill="DCE6FF"/>
            </w:pPr>
            <w:r>
              <w:rPr>
                <w:b/>
                <w:sz w:val="19"/>
              </w:rPr>
              <w:t>Datum</w:t>
            </w:r>
          </w:p>
        </w:tc>
        <w:tc>
          <w:tcPr>
            <w:tcW w:type="dxa" w:w="4873"/>
          </w:tcPr>
          <w:p>
            <w:pPr>
              <w:shd w:val="clear" w:color="auto" w:fill="DCE6FF"/>
            </w:pPr>
            <w:r>
              <w:rPr>
                <w:b/>
                <w:sz w:val="19"/>
              </w:rPr>
              <w:t>Was gilt</w:t>
            </w:r>
          </w:p>
        </w:tc>
      </w:tr>
      <w:tr>
        <w:tc>
          <w:tcPr>
            <w:tcW w:type="dxa" w:w="4873"/>
          </w:tcPr>
          <w:p>
            <w:r>
              <w:rPr>
                <w:b w:val="0"/>
                <w:sz w:val="19"/>
              </w:rPr>
              <w:t>2. Februar 2025</w:t>
            </w:r>
          </w:p>
        </w:tc>
        <w:tc>
          <w:tcPr>
            <w:tcW w:type="dxa" w:w="4873"/>
          </w:tcPr>
          <w:p>
            <w:r>
              <w:rPr>
                <w:b w:val="0"/>
                <w:sz w:val="19"/>
              </w:rPr>
              <w:t>Verbote und Pflicht zur KI-Kompetenz</w:t>
            </w:r>
          </w:p>
        </w:tc>
      </w:tr>
      <w:tr>
        <w:tc>
          <w:tcPr>
            <w:tcW w:type="dxa" w:w="4873"/>
          </w:tcPr>
          <w:p>
            <w:r>
              <w:rPr>
                <w:b w:val="0"/>
                <w:sz w:val="19"/>
              </w:rPr>
              <w:t>2. August 2026</w:t>
            </w:r>
          </w:p>
        </w:tc>
        <w:tc>
          <w:tcPr>
            <w:tcW w:type="dxa" w:w="4873"/>
          </w:tcPr>
          <w:p>
            <w:r>
              <w:rPr>
                <w:b w:val="0"/>
                <w:sz w:val="19"/>
              </w:rPr>
              <w:t>Transparenzpflichten nach Art. 50</w:t>
            </w:r>
          </w:p>
        </w:tc>
      </w:tr>
      <w:tr>
        <w:tc>
          <w:tcPr>
            <w:tcW w:type="dxa" w:w="4873"/>
          </w:tcPr>
          <w:p>
            <w:r>
              <w:rPr>
                <w:b w:val="0"/>
                <w:sz w:val="19"/>
              </w:rPr>
              <w:t>9. Dezember 2026</w:t>
            </w:r>
          </w:p>
        </w:tc>
        <w:tc>
          <w:tcPr>
            <w:tcW w:type="dxa" w:w="4873"/>
          </w:tcPr>
          <w:p>
            <w:r>
              <w:rPr>
                <w:b w:val="0"/>
                <w:sz w:val="19"/>
              </w:rPr>
              <w:t>Frist zur Umsetzung der neuen Produkthaftungsrichtlinie</w:t>
            </w:r>
          </w:p>
        </w:tc>
      </w:tr>
      <w:tr>
        <w:tc>
          <w:tcPr>
            <w:tcW w:type="dxa" w:w="4873"/>
          </w:tcPr>
          <w:p>
            <w:r>
              <w:rPr>
                <w:b w:val="0"/>
                <w:sz w:val="19"/>
              </w:rPr>
              <w:t>20. Januar 2027</w:t>
            </w:r>
          </w:p>
        </w:tc>
        <w:tc>
          <w:tcPr>
            <w:tcW w:type="dxa" w:w="4873"/>
          </w:tcPr>
          <w:p>
            <w:r>
              <w:rPr>
                <w:b w:val="0"/>
                <w:sz w:val="19"/>
              </w:rPr>
              <w:t>Neue Maschinenverordnung</w:t>
            </w:r>
          </w:p>
        </w:tc>
      </w:tr>
      <w:tr>
        <w:tc>
          <w:tcPr>
            <w:tcW w:type="dxa" w:w="4873"/>
          </w:tcPr>
          <w:p>
            <w:r>
              <w:rPr>
                <w:b w:val="0"/>
                <w:sz w:val="19"/>
              </w:rPr>
              <w:t>2. Dezember 2027</w:t>
            </w:r>
          </w:p>
        </w:tc>
        <w:tc>
          <w:tcPr>
            <w:tcW w:type="dxa" w:w="4873"/>
          </w:tcPr>
          <w:p>
            <w:r>
              <w:rPr>
                <w:b w:val="0"/>
                <w:sz w:val="19"/>
              </w:rPr>
              <w:t>Hochrisiko-KI nach Anhang III</w:t>
            </w:r>
          </w:p>
        </w:tc>
      </w:tr>
      <w:tr>
        <w:tc>
          <w:tcPr>
            <w:tcW w:type="dxa" w:w="4873"/>
          </w:tcPr>
          <w:p>
            <w:r>
              <w:rPr>
                <w:b w:val="0"/>
                <w:sz w:val="19"/>
              </w:rPr>
              <w:t>2. August 2028</w:t>
            </w:r>
          </w:p>
        </w:tc>
        <w:tc>
          <w:tcPr>
            <w:tcW w:type="dxa" w:w="4873"/>
          </w:tcPr>
          <w:p>
            <w:r>
              <w:rPr>
                <w:b w:val="0"/>
                <w:sz w:val="19"/>
              </w:rPr>
              <w:t>Hochrisiko-KI in Produkten nach Anhang I</w:t>
            </w:r>
          </w:p>
        </w:tc>
      </w:tr>
    </w:tbl>
    <w:p/>
    <w:p>
      <w:r>
        <w:rPr>
          <w:b w:val="0"/>
        </w:rPr>
        <w:t>Keine Rechtsberatung. Ausführlich: https://kistrategie.de/blog/ki-recht/ · Muster einer KI-Richtlinie: https://kistrategie.de/blog/ki-richtlinie-unternehmen-muster/</w:t>
      </w:r>
    </w:p>
    <w:sectPr w:rsidR="00FC693F" w:rsidRPr="0006063C" w:rsidSect="00034616">
      <w:footerReference w:type="default" r:id="rId9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7A99"/>
        <w:sz w:val="16"/>
      </w:rPr>
      <w:t>kistrategie.de · Christoph Weingärtner, KI-Beratung und INQA-Coaching · Stand Oktober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1D3A9E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C46F12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1D3A9E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KI-Compliance-Checkliste: AI Act, DSGVO, Urheber- und Arbeitsrecht</dc:title>
  <dc:subject/>
  <dc:creator>Christoph Weingärtner, kistrategie.de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